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AD59" w14:textId="77777777" w:rsidR="00D503DC" w:rsidRPr="00D503DC" w:rsidRDefault="00D503DC" w:rsidP="00D503DC">
      <w:pPr>
        <w:shd w:val="clear" w:color="auto" w:fill="FFFFFF"/>
        <w:spacing w:after="0" w:line="240" w:lineRule="auto"/>
        <w:outlineLvl w:val="0"/>
        <w:rPr>
          <w:rFonts w:ascii="Lato" w:eastAsia="Times New Roman" w:hAnsi="Lato" w:cs="Times New Roman"/>
          <w:color w:val="CC3300"/>
          <w:kern w:val="36"/>
          <w:sz w:val="36"/>
          <w:szCs w:val="36"/>
          <w:lang w:eastAsia="fr-BE"/>
        </w:rPr>
      </w:pPr>
      <w:r w:rsidRPr="00D503DC">
        <w:rPr>
          <w:rFonts w:ascii="Lato" w:eastAsia="Times New Roman" w:hAnsi="Lato" w:cs="Times New Roman"/>
          <w:color w:val="CC3300"/>
          <w:kern w:val="36"/>
          <w:sz w:val="36"/>
          <w:szCs w:val="36"/>
          <w:lang w:eastAsia="fr-BE"/>
        </w:rPr>
        <w:t xml:space="preserve">Rio Tinto accroît sa production d'aluminium bas carbone en attendant </w:t>
      </w:r>
      <w:proofErr w:type="spellStart"/>
      <w:r w:rsidRPr="00D503DC">
        <w:rPr>
          <w:rFonts w:ascii="Lato" w:eastAsia="Times New Roman" w:hAnsi="Lato" w:cs="Times New Roman"/>
          <w:color w:val="CC3300"/>
          <w:kern w:val="36"/>
          <w:sz w:val="36"/>
          <w:szCs w:val="36"/>
          <w:lang w:eastAsia="fr-BE"/>
        </w:rPr>
        <w:t>Elysis</w:t>
      </w:r>
      <w:proofErr w:type="spellEnd"/>
    </w:p>
    <w:p w14:paraId="5C8AD827" w14:textId="77777777" w:rsidR="00D503DC" w:rsidRDefault="00D503DC" w:rsidP="00D503DC">
      <w:pPr>
        <w:shd w:val="clear" w:color="auto" w:fill="FFFFFF"/>
        <w:spacing w:before="75" w:after="75" w:line="240" w:lineRule="auto"/>
        <w:jc w:val="both"/>
        <w:rPr>
          <w:rFonts w:ascii="Lato" w:eastAsia="Times New Roman" w:hAnsi="Lato" w:cs="Times New Roman"/>
          <w:color w:val="000000"/>
          <w:sz w:val="23"/>
          <w:szCs w:val="23"/>
          <w:lang w:eastAsia="fr-BE"/>
        </w:rPr>
      </w:pPr>
    </w:p>
    <w:p w14:paraId="48F87C6F" w14:textId="118CAB0D" w:rsidR="00D503DC" w:rsidRPr="00D503DC" w:rsidRDefault="00D503DC" w:rsidP="00D503DC">
      <w:pPr>
        <w:shd w:val="clear" w:color="auto" w:fill="FFFFFF"/>
        <w:spacing w:before="75" w:after="75" w:line="240" w:lineRule="auto"/>
        <w:jc w:val="both"/>
        <w:rPr>
          <w:rFonts w:ascii="Lato" w:eastAsia="Times New Roman" w:hAnsi="Lato" w:cs="Times New Roman"/>
          <w:color w:val="000000"/>
          <w:sz w:val="23"/>
          <w:szCs w:val="23"/>
          <w:lang w:eastAsia="fr-BE"/>
        </w:rPr>
      </w:pPr>
      <w:r w:rsidRPr="00D503DC">
        <w:rPr>
          <w:rFonts w:ascii="Lato" w:eastAsia="Times New Roman" w:hAnsi="Lato" w:cs="Times New Roman"/>
          <w:b/>
          <w:bCs/>
          <w:color w:val="000000"/>
          <w:sz w:val="23"/>
          <w:szCs w:val="23"/>
          <w:lang w:eastAsia="fr-BE"/>
        </w:rPr>
        <w:t>Rio Tinto</w:t>
      </w:r>
      <w:r w:rsidRPr="00D503DC">
        <w:rPr>
          <w:rFonts w:ascii="Lato" w:eastAsia="Times New Roman" w:hAnsi="Lato" w:cs="Times New Roman"/>
          <w:color w:val="000000"/>
          <w:sz w:val="23"/>
          <w:szCs w:val="23"/>
          <w:lang w:eastAsia="fr-BE"/>
        </w:rPr>
        <w:t> va accroître de 45% la production de son usine d’électrolyse au centre technologique Arvida au Québec. Il s’agit du premier investissement majeur réalisé dans le secteur depuis près d’une décennie dans cette province du Canada.</w:t>
      </w:r>
    </w:p>
    <w:p w14:paraId="7FCA8E4E" w14:textId="77777777" w:rsidR="00D503DC" w:rsidRPr="00D503DC" w:rsidRDefault="00D503DC" w:rsidP="00D503DC">
      <w:pPr>
        <w:shd w:val="clear" w:color="auto" w:fill="FFFFFF"/>
        <w:spacing w:before="75" w:after="75" w:line="240" w:lineRule="auto"/>
        <w:jc w:val="both"/>
        <w:rPr>
          <w:rFonts w:ascii="Lato" w:eastAsia="Times New Roman" w:hAnsi="Lato" w:cs="Times New Roman"/>
          <w:color w:val="000000"/>
          <w:sz w:val="23"/>
          <w:szCs w:val="23"/>
          <w:lang w:eastAsia="fr-BE"/>
        </w:rPr>
      </w:pPr>
      <w:r w:rsidRPr="00D503DC">
        <w:rPr>
          <w:rFonts w:ascii="Lato" w:eastAsia="Times New Roman" w:hAnsi="Lato" w:cs="Times New Roman"/>
          <w:color w:val="000000"/>
          <w:sz w:val="23"/>
          <w:szCs w:val="23"/>
          <w:lang w:eastAsia="fr-BE"/>
        </w:rPr>
        <w:t> </w:t>
      </w:r>
    </w:p>
    <w:p w14:paraId="18C23A54" w14:textId="77777777" w:rsidR="00D503DC" w:rsidRPr="00D503DC" w:rsidRDefault="00D503DC" w:rsidP="00D503DC">
      <w:pPr>
        <w:shd w:val="clear" w:color="auto" w:fill="FFFFFF"/>
        <w:spacing w:before="75" w:after="75" w:line="240" w:lineRule="auto"/>
        <w:jc w:val="both"/>
        <w:rPr>
          <w:rFonts w:ascii="Lato" w:eastAsia="Times New Roman" w:hAnsi="Lato" w:cs="Times New Roman"/>
          <w:color w:val="000000"/>
          <w:sz w:val="23"/>
          <w:szCs w:val="23"/>
          <w:lang w:eastAsia="fr-BE"/>
        </w:rPr>
      </w:pPr>
      <w:r w:rsidRPr="00D503DC">
        <w:rPr>
          <w:rFonts w:ascii="Lato" w:eastAsia="Times New Roman" w:hAnsi="Lato" w:cs="Times New Roman"/>
          <w:color w:val="000000"/>
          <w:sz w:val="23"/>
          <w:szCs w:val="23"/>
          <w:lang w:eastAsia="fr-BE"/>
        </w:rPr>
        <w:t>L’entreprise va ainsi consacrer 87 millions de dollars à l’augmentation des capacités d’aluminium bas carbone. 16 nouvelles cuves, d’une capacité totale de 26.500 tonnes, seront ainsi ajoutées aux 38 existantes, d’une capacité de 60.000 tonnes. Les travaux débuteront au printemps 2022 et devraient être terminés fin 2023.</w:t>
      </w:r>
    </w:p>
    <w:p w14:paraId="6E4462E2" w14:textId="77777777" w:rsidR="00D503DC" w:rsidRPr="00D503DC" w:rsidRDefault="00D503DC" w:rsidP="00D503DC">
      <w:pPr>
        <w:shd w:val="clear" w:color="auto" w:fill="FFFFFF"/>
        <w:spacing w:before="75" w:after="75" w:line="240" w:lineRule="auto"/>
        <w:jc w:val="both"/>
        <w:rPr>
          <w:rFonts w:ascii="Lato" w:eastAsia="Times New Roman" w:hAnsi="Lato" w:cs="Times New Roman"/>
          <w:color w:val="000000"/>
          <w:sz w:val="23"/>
          <w:szCs w:val="23"/>
          <w:lang w:eastAsia="fr-BE"/>
        </w:rPr>
      </w:pPr>
      <w:r w:rsidRPr="00D503DC">
        <w:rPr>
          <w:rFonts w:ascii="Lato" w:eastAsia="Times New Roman" w:hAnsi="Lato" w:cs="Times New Roman"/>
          <w:color w:val="000000"/>
          <w:sz w:val="23"/>
          <w:szCs w:val="23"/>
          <w:lang w:eastAsia="fr-BE"/>
        </w:rPr>
        <w:t>Près de la moitié des usines d’aluminium du groupe se situe dans la région de Saguenay-Lac-Saint-Jean. Parmi elles, la JV fondée avec </w:t>
      </w:r>
      <w:r w:rsidRPr="00D503DC">
        <w:rPr>
          <w:rFonts w:ascii="Lato" w:eastAsia="Times New Roman" w:hAnsi="Lato" w:cs="Times New Roman"/>
          <w:b/>
          <w:bCs/>
          <w:color w:val="000000"/>
          <w:sz w:val="23"/>
          <w:szCs w:val="23"/>
          <w:lang w:eastAsia="fr-BE"/>
        </w:rPr>
        <w:t xml:space="preserve">Alcoa </w:t>
      </w:r>
      <w:proofErr w:type="spellStart"/>
      <w:r w:rsidRPr="00D503DC">
        <w:rPr>
          <w:rFonts w:ascii="Lato" w:eastAsia="Times New Roman" w:hAnsi="Lato" w:cs="Times New Roman"/>
          <w:b/>
          <w:bCs/>
          <w:color w:val="000000"/>
          <w:sz w:val="23"/>
          <w:szCs w:val="23"/>
          <w:lang w:eastAsia="fr-BE"/>
        </w:rPr>
        <w:t>Elysis</w:t>
      </w:r>
      <w:proofErr w:type="spellEnd"/>
      <w:r w:rsidRPr="00D503DC">
        <w:rPr>
          <w:rFonts w:ascii="Lato" w:eastAsia="Times New Roman" w:hAnsi="Lato" w:cs="Times New Roman"/>
          <w:color w:val="000000"/>
          <w:sz w:val="23"/>
          <w:szCs w:val="23"/>
          <w:lang w:eastAsia="fr-BE"/>
        </w:rPr>
        <w:t>, qui se trouve également dans cette région. Mais puisqu’elle n’est pas encore prête à passer à la phase industrielle, Rio Tinto a décidé d’améliorer son bilan carbone en augmentant les capacités de la fonderie Arvida. « </w:t>
      </w:r>
      <w:r w:rsidRPr="00D503DC">
        <w:rPr>
          <w:rFonts w:ascii="Lato" w:eastAsia="Times New Roman" w:hAnsi="Lato" w:cs="Times New Roman"/>
          <w:i/>
          <w:iCs/>
          <w:color w:val="000000"/>
          <w:sz w:val="23"/>
          <w:szCs w:val="23"/>
          <w:lang w:eastAsia="fr-BE"/>
        </w:rPr>
        <w:t>Il a été question de choisir entre attendre qu’</w:t>
      </w:r>
      <w:proofErr w:type="spellStart"/>
      <w:r w:rsidRPr="00D503DC">
        <w:rPr>
          <w:rFonts w:ascii="Lato" w:eastAsia="Times New Roman" w:hAnsi="Lato" w:cs="Times New Roman"/>
          <w:i/>
          <w:iCs/>
          <w:color w:val="000000"/>
          <w:sz w:val="23"/>
          <w:szCs w:val="23"/>
          <w:lang w:eastAsia="fr-BE"/>
        </w:rPr>
        <w:t>Elysis</w:t>
      </w:r>
      <w:proofErr w:type="spellEnd"/>
      <w:r w:rsidRPr="00D503DC">
        <w:rPr>
          <w:rFonts w:ascii="Lato" w:eastAsia="Times New Roman" w:hAnsi="Lato" w:cs="Times New Roman"/>
          <w:i/>
          <w:iCs/>
          <w:color w:val="000000"/>
          <w:sz w:val="23"/>
          <w:szCs w:val="23"/>
          <w:lang w:eastAsia="fr-BE"/>
        </w:rPr>
        <w:t xml:space="preserve"> puisse produire de manière industrielle, alors que la demande en produits bas carbone augmente, ou ajouter des capacités là où la production entraîne le plus faible taux d’émissions. La réponse était évidente</w:t>
      </w:r>
      <w:r w:rsidRPr="00D503DC">
        <w:rPr>
          <w:rFonts w:ascii="Lato" w:eastAsia="Times New Roman" w:hAnsi="Lato" w:cs="Times New Roman"/>
          <w:color w:val="000000"/>
          <w:sz w:val="23"/>
          <w:szCs w:val="23"/>
          <w:lang w:eastAsia="fr-BE"/>
        </w:rPr>
        <w:t> », a expliqué Ivan Vella, dg du groupe, dans une interview, ajoutant qu’il s’agissait d’une « </w:t>
      </w:r>
      <w:r w:rsidRPr="00D503DC">
        <w:rPr>
          <w:rFonts w:ascii="Lato" w:eastAsia="Times New Roman" w:hAnsi="Lato" w:cs="Times New Roman"/>
          <w:i/>
          <w:iCs/>
          <w:color w:val="000000"/>
          <w:sz w:val="23"/>
          <w:szCs w:val="23"/>
          <w:lang w:eastAsia="fr-BE"/>
        </w:rPr>
        <w:t>passerelle </w:t>
      </w:r>
      <w:r w:rsidRPr="00D503DC">
        <w:rPr>
          <w:rFonts w:ascii="Lato" w:eastAsia="Times New Roman" w:hAnsi="Lato" w:cs="Times New Roman"/>
          <w:color w:val="000000"/>
          <w:sz w:val="23"/>
          <w:szCs w:val="23"/>
          <w:lang w:eastAsia="fr-BE"/>
        </w:rPr>
        <w:t>» d’ici à ce qu’</w:t>
      </w:r>
      <w:proofErr w:type="spellStart"/>
      <w:r w:rsidRPr="00D503DC">
        <w:rPr>
          <w:rFonts w:ascii="Lato" w:eastAsia="Times New Roman" w:hAnsi="Lato" w:cs="Times New Roman"/>
          <w:color w:val="000000"/>
          <w:sz w:val="23"/>
          <w:szCs w:val="23"/>
          <w:lang w:eastAsia="fr-BE"/>
        </w:rPr>
        <w:t>Elysis</w:t>
      </w:r>
      <w:proofErr w:type="spellEnd"/>
      <w:r w:rsidRPr="00D503DC">
        <w:rPr>
          <w:rFonts w:ascii="Lato" w:eastAsia="Times New Roman" w:hAnsi="Lato" w:cs="Times New Roman"/>
          <w:color w:val="000000"/>
          <w:sz w:val="23"/>
          <w:szCs w:val="23"/>
          <w:lang w:eastAsia="fr-BE"/>
        </w:rPr>
        <w:t xml:space="preserve"> soit opérationnelle.</w:t>
      </w:r>
    </w:p>
    <w:p w14:paraId="5092650C" w14:textId="77777777" w:rsidR="00D503DC" w:rsidRPr="00D503DC" w:rsidRDefault="00D503DC" w:rsidP="00D503DC">
      <w:pPr>
        <w:shd w:val="clear" w:color="auto" w:fill="FFFFFF"/>
        <w:spacing w:before="75" w:after="75" w:line="240" w:lineRule="auto"/>
        <w:jc w:val="both"/>
        <w:rPr>
          <w:rFonts w:ascii="Lato" w:eastAsia="Times New Roman" w:hAnsi="Lato" w:cs="Times New Roman"/>
          <w:color w:val="000000"/>
          <w:sz w:val="23"/>
          <w:szCs w:val="23"/>
          <w:lang w:eastAsia="fr-BE"/>
        </w:rPr>
      </w:pPr>
      <w:r w:rsidRPr="00D503DC">
        <w:rPr>
          <w:rFonts w:ascii="Lato" w:eastAsia="Times New Roman" w:hAnsi="Lato" w:cs="Times New Roman"/>
          <w:b/>
          <w:bCs/>
          <w:color w:val="000000"/>
          <w:sz w:val="23"/>
          <w:szCs w:val="23"/>
          <w:lang w:eastAsia="fr-BE"/>
        </w:rPr>
        <w:t>Rio Tinto</w:t>
      </w:r>
      <w:r w:rsidRPr="00D503DC">
        <w:rPr>
          <w:rFonts w:ascii="Lato" w:eastAsia="Times New Roman" w:hAnsi="Lato" w:cs="Times New Roman"/>
          <w:color w:val="000000"/>
          <w:sz w:val="23"/>
          <w:szCs w:val="23"/>
          <w:lang w:eastAsia="fr-BE"/>
        </w:rPr>
        <w:t> prévoit un accroissement de la demande en aluminium de 3,3% par an au cours de la prochaine décennie. Elle sera portée par la transition énergétique et la décarbonation. Ivan Vella souligne, par ailleurs, que l’offre nord-américaine est structurellement insuffisante, ce qui pourrait obliger le continent à importer de l’aluminium à fortes émissions de carbone si la production n’était pas augmentée. « </w:t>
      </w:r>
      <w:r w:rsidRPr="00D503DC">
        <w:rPr>
          <w:rFonts w:ascii="Lato" w:eastAsia="Times New Roman" w:hAnsi="Lato" w:cs="Times New Roman"/>
          <w:i/>
          <w:iCs/>
          <w:color w:val="000000"/>
          <w:sz w:val="23"/>
          <w:szCs w:val="23"/>
          <w:lang w:eastAsia="fr-BE"/>
        </w:rPr>
        <w:t>Nous voulons être en mesure de soutenir le marché américain</w:t>
      </w:r>
      <w:r w:rsidRPr="00D503DC">
        <w:rPr>
          <w:rFonts w:ascii="Lato" w:eastAsia="Times New Roman" w:hAnsi="Lato" w:cs="Times New Roman"/>
          <w:color w:val="000000"/>
          <w:sz w:val="23"/>
          <w:szCs w:val="23"/>
          <w:lang w:eastAsia="fr-BE"/>
        </w:rPr>
        <w:t> », a indiqué Ivan Vella.</w:t>
      </w:r>
    </w:p>
    <w:p w14:paraId="1B3B5B66" w14:textId="77777777" w:rsidR="00D503DC" w:rsidRPr="00D503DC" w:rsidRDefault="00D503DC" w:rsidP="00D503DC">
      <w:pPr>
        <w:shd w:val="clear" w:color="auto" w:fill="FFFFFF"/>
        <w:spacing w:before="75" w:after="75" w:line="240" w:lineRule="auto"/>
        <w:jc w:val="both"/>
        <w:rPr>
          <w:rFonts w:ascii="Lato" w:eastAsia="Times New Roman" w:hAnsi="Lato" w:cs="Times New Roman"/>
          <w:color w:val="000000"/>
          <w:sz w:val="23"/>
          <w:szCs w:val="23"/>
          <w:lang w:eastAsia="fr-BE"/>
        </w:rPr>
      </w:pPr>
      <w:r w:rsidRPr="00D503DC">
        <w:rPr>
          <w:rFonts w:ascii="Lato" w:eastAsia="Times New Roman" w:hAnsi="Lato" w:cs="Times New Roman"/>
          <w:color w:val="000000"/>
          <w:sz w:val="23"/>
          <w:szCs w:val="23"/>
          <w:lang w:eastAsia="fr-BE"/>
        </w:rPr>
        <w:t xml:space="preserve">L’usine Arvida, qui utilise la technologie AP-60, émet 1,57 tonne de carbone par tonne d’aluminium produite, soit 7 fois moins que la moyenne industrielle. Cette technologie permet de produire 40% d’aluminium en plus par cuve qu’avec la précédente génération AP. Rio Tinto prévoit d’investir un montant de 7,5 milliards de dollars dans la décarbonation de ses usines au cours de la prochaine décennie. </w:t>
      </w:r>
      <w:proofErr w:type="spellStart"/>
      <w:r w:rsidRPr="00D503DC">
        <w:rPr>
          <w:rFonts w:ascii="Lato" w:eastAsia="Times New Roman" w:hAnsi="Lato" w:cs="Times New Roman"/>
          <w:color w:val="000000"/>
          <w:sz w:val="23"/>
          <w:szCs w:val="23"/>
          <w:lang w:eastAsia="fr-BE"/>
        </w:rPr>
        <w:t>Elysis</w:t>
      </w:r>
      <w:proofErr w:type="spellEnd"/>
      <w:r w:rsidRPr="00D503DC">
        <w:rPr>
          <w:rFonts w:ascii="Lato" w:eastAsia="Times New Roman" w:hAnsi="Lato" w:cs="Times New Roman"/>
          <w:color w:val="000000"/>
          <w:sz w:val="23"/>
          <w:szCs w:val="23"/>
          <w:lang w:eastAsia="fr-BE"/>
        </w:rPr>
        <w:t>, qui va permettre de produire de l’aluminium zéro carbone, en fait partie.</w:t>
      </w:r>
    </w:p>
    <w:p w14:paraId="4F2E09F5" w14:textId="77777777" w:rsidR="00D503DC" w:rsidRPr="00D503DC" w:rsidRDefault="00D503DC" w:rsidP="00D503DC">
      <w:pPr>
        <w:shd w:val="clear" w:color="auto" w:fill="FFFFFF"/>
        <w:spacing w:before="75" w:after="75" w:line="240" w:lineRule="auto"/>
        <w:jc w:val="both"/>
        <w:rPr>
          <w:rFonts w:ascii="Lato" w:eastAsia="Times New Roman" w:hAnsi="Lato" w:cs="Times New Roman"/>
          <w:color w:val="000000"/>
          <w:sz w:val="23"/>
          <w:szCs w:val="23"/>
          <w:lang w:eastAsia="fr-BE"/>
        </w:rPr>
      </w:pPr>
      <w:r w:rsidRPr="00D503DC">
        <w:rPr>
          <w:rFonts w:ascii="Lato" w:eastAsia="Times New Roman" w:hAnsi="Lato" w:cs="Times New Roman"/>
          <w:color w:val="000000"/>
          <w:sz w:val="23"/>
          <w:szCs w:val="23"/>
          <w:lang w:eastAsia="fr-BE"/>
        </w:rPr>
        <w:t> </w:t>
      </w:r>
    </w:p>
    <w:p w14:paraId="0B1E4158" w14:textId="77777777" w:rsidR="005A7361" w:rsidRDefault="005A7361"/>
    <w:sectPr w:rsidR="005A73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DC"/>
    <w:rsid w:val="005A7361"/>
    <w:rsid w:val="00D503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E48E"/>
  <w15:chartTrackingRefBased/>
  <w15:docId w15:val="{BC83AF1C-A036-4818-8964-74562153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1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2035</Characters>
  <Application>Microsoft Office Word</Application>
  <DocSecurity>0</DocSecurity>
  <Lines>16</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2021-11-30T11:20:00Z</dcterms:created>
  <dcterms:modified xsi:type="dcterms:W3CDTF">2021-11-30T11:21:00Z</dcterms:modified>
</cp:coreProperties>
</file>